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E344A" w14:textId="088866E3" w:rsidR="00A76BDF" w:rsidRPr="00A76BDF" w:rsidRDefault="00A76BDF" w:rsidP="00A76BDF">
      <w:pPr>
        <w:widowControl w:val="0"/>
        <w:spacing w:before="120" w:after="120" w:line="240" w:lineRule="auto"/>
        <w:jc w:val="center"/>
        <w:outlineLvl w:val="1"/>
        <w:rPr>
          <w:rFonts w:ascii="Arial" w:eastAsia="Times New Roman" w:hAnsi="Arial" w:cs="Arial"/>
          <w:b/>
          <w:bCs/>
          <w:u w:val="single"/>
        </w:rPr>
      </w:pPr>
      <w:bookmarkStart w:id="0" w:name="_Toc356568107"/>
      <w:bookmarkStart w:id="1" w:name="_GoBack"/>
      <w:bookmarkEnd w:id="0"/>
      <w:bookmarkEnd w:id="1"/>
      <w:r w:rsidRPr="00A76BDF">
        <w:rPr>
          <w:rFonts w:ascii="Arial" w:eastAsia="Times New Roman" w:hAnsi="Arial" w:cs="Arial"/>
          <w:b/>
          <w:bCs/>
          <w:u w:val="single"/>
        </w:rPr>
        <w:t>Contractor Badge Activation/Deactivation</w:t>
      </w:r>
      <w:r>
        <w:rPr>
          <w:rFonts w:ascii="Arial" w:eastAsia="Times New Roman" w:hAnsi="Arial" w:cs="Arial"/>
          <w:b/>
          <w:bCs/>
          <w:u w:val="single"/>
        </w:rPr>
        <w:t xml:space="preserve"> Security Policy</w:t>
      </w:r>
    </w:p>
    <w:p w14:paraId="3F831B03" w14:textId="23B02705" w:rsidR="00A76BDF" w:rsidRDefault="00A76BDF" w:rsidP="00A76BDF">
      <w:pPr>
        <w:widowControl w:val="0"/>
        <w:spacing w:before="120" w:after="120" w:line="240" w:lineRule="auto"/>
        <w:jc w:val="both"/>
        <w:outlineLvl w:val="1"/>
        <w:rPr>
          <w:rFonts w:ascii="Arial" w:eastAsia="Times New Roman" w:hAnsi="Arial" w:cs="Arial"/>
          <w:sz w:val="18"/>
          <w:szCs w:val="18"/>
          <w:highlight w:val="yellow"/>
          <w:u w:val="single"/>
        </w:rPr>
      </w:pPr>
    </w:p>
    <w:p w14:paraId="37D5B7FE" w14:textId="77777777" w:rsidR="00A76BDF" w:rsidRPr="00A76BDF" w:rsidRDefault="00A76BDF" w:rsidP="00A76BDF">
      <w:pPr>
        <w:widowControl w:val="0"/>
        <w:spacing w:before="120" w:after="120" w:line="240" w:lineRule="auto"/>
        <w:jc w:val="both"/>
        <w:outlineLvl w:val="1"/>
        <w:rPr>
          <w:rFonts w:ascii="Arial" w:eastAsia="Times New Roman" w:hAnsi="Arial" w:cs="Arial"/>
          <w:sz w:val="18"/>
          <w:szCs w:val="18"/>
          <w:highlight w:val="yellow"/>
          <w:u w:val="single"/>
        </w:rPr>
      </w:pPr>
    </w:p>
    <w:p w14:paraId="74B8BEFD" w14:textId="77777777" w:rsidR="00A76BDF" w:rsidRPr="00A76BDF" w:rsidRDefault="00A76BDF" w:rsidP="00A76BDF">
      <w:pPr>
        <w:widowControl w:val="0"/>
        <w:numPr>
          <w:ilvl w:val="0"/>
          <w:numId w:val="2"/>
        </w:numPr>
        <w:spacing w:before="120" w:after="120" w:line="240" w:lineRule="auto"/>
        <w:outlineLvl w:val="0"/>
        <w:rPr>
          <w:rFonts w:ascii="Arial" w:eastAsia="Times New Roman" w:hAnsi="Arial" w:cs="Times New Roman"/>
          <w:b/>
          <w:sz w:val="20"/>
          <w:szCs w:val="20"/>
        </w:rPr>
      </w:pPr>
      <w:bookmarkStart w:id="2" w:name="_Toc360447942"/>
      <w:r w:rsidRPr="00A76BDF">
        <w:rPr>
          <w:rFonts w:ascii="Arial" w:eastAsia="Times New Roman" w:hAnsi="Arial" w:cs="Times New Roman"/>
          <w:b/>
          <w:sz w:val="20"/>
          <w:szCs w:val="20"/>
        </w:rPr>
        <w:t>Purpose</w:t>
      </w:r>
      <w:bookmarkEnd w:id="2"/>
    </w:p>
    <w:p w14:paraId="6E83F461" w14:textId="1C6501E6" w:rsidR="00A76BDF" w:rsidRPr="00A76BDF" w:rsidRDefault="00A76BDF" w:rsidP="00A76BDF">
      <w:pPr>
        <w:widowControl w:val="0"/>
        <w:numPr>
          <w:ilvl w:val="1"/>
          <w:numId w:val="1"/>
        </w:numPr>
        <w:spacing w:before="120" w:after="120" w:line="240" w:lineRule="auto"/>
        <w:jc w:val="both"/>
        <w:outlineLvl w:val="1"/>
        <w:rPr>
          <w:rFonts w:ascii="Arial" w:eastAsia="Times New Roman" w:hAnsi="Arial" w:cs="Times New Roman"/>
          <w:sz w:val="20"/>
          <w:szCs w:val="20"/>
        </w:rPr>
      </w:pPr>
      <w:r w:rsidRPr="00A76BDF">
        <w:rPr>
          <w:rFonts w:ascii="Arial" w:eastAsia="Times New Roman" w:hAnsi="Arial" w:cs="Times New Roman"/>
          <w:sz w:val="20"/>
          <w:szCs w:val="20"/>
        </w:rPr>
        <w:t xml:space="preserve">The intent of the policy is to improve the accountability of personnel and security of the site by establishing a procedure which instructs all contractor companies with employees granted site access badges to properly notify GBR Security and the </w:t>
      </w:r>
      <w:r w:rsidR="00561CAB">
        <w:rPr>
          <w:rFonts w:ascii="Arial" w:eastAsia="Times New Roman" w:hAnsi="Arial" w:cs="Times New Roman"/>
          <w:sz w:val="20"/>
          <w:szCs w:val="20"/>
        </w:rPr>
        <w:t xml:space="preserve">TRACK </w:t>
      </w:r>
      <w:r w:rsidRPr="00A76BDF">
        <w:rPr>
          <w:rFonts w:ascii="Arial" w:eastAsia="Times New Roman" w:hAnsi="Arial" w:cs="Times New Roman"/>
          <w:sz w:val="20"/>
          <w:szCs w:val="20"/>
        </w:rPr>
        <w:t>System administrator whenever an employee of the contractor company is no longer in their employment or has been permanently transferred from GBR.</w:t>
      </w:r>
    </w:p>
    <w:p w14:paraId="574332D6" w14:textId="77777777" w:rsidR="00A76BDF" w:rsidRPr="00A76BDF" w:rsidRDefault="00A76BDF" w:rsidP="00A76BDF">
      <w:pPr>
        <w:widowControl w:val="0"/>
        <w:numPr>
          <w:ilvl w:val="0"/>
          <w:numId w:val="1"/>
        </w:numPr>
        <w:spacing w:before="120" w:after="120" w:line="240" w:lineRule="auto"/>
        <w:jc w:val="both"/>
        <w:outlineLvl w:val="0"/>
        <w:rPr>
          <w:rFonts w:ascii="Arial" w:eastAsia="Times New Roman" w:hAnsi="Arial" w:cs="Times New Roman"/>
          <w:b/>
          <w:sz w:val="20"/>
          <w:szCs w:val="20"/>
        </w:rPr>
      </w:pPr>
      <w:bookmarkStart w:id="3" w:name="_Toc360447944"/>
      <w:r w:rsidRPr="00A76BDF">
        <w:rPr>
          <w:rFonts w:ascii="Arial" w:eastAsia="Times New Roman" w:hAnsi="Arial" w:cs="Times New Roman"/>
          <w:b/>
          <w:sz w:val="20"/>
          <w:szCs w:val="20"/>
        </w:rPr>
        <w:t>Scope</w:t>
      </w:r>
      <w:bookmarkStart w:id="4" w:name="_Toc360447945"/>
      <w:bookmarkEnd w:id="3"/>
    </w:p>
    <w:p w14:paraId="4802107C" w14:textId="77777777" w:rsidR="00A76BDF" w:rsidRPr="00A76BDF" w:rsidRDefault="00A76BDF" w:rsidP="00A76BDF">
      <w:pPr>
        <w:widowControl w:val="0"/>
        <w:numPr>
          <w:ilvl w:val="2"/>
          <w:numId w:val="1"/>
        </w:numPr>
        <w:spacing w:before="120" w:after="120" w:line="240" w:lineRule="auto"/>
        <w:outlineLvl w:val="2"/>
        <w:rPr>
          <w:rFonts w:ascii="Arial" w:eastAsia="Times New Roman" w:hAnsi="Arial" w:cs="Times New Roman"/>
          <w:sz w:val="20"/>
          <w:szCs w:val="20"/>
        </w:rPr>
      </w:pPr>
      <w:r w:rsidRPr="00A76BDF">
        <w:rPr>
          <w:rFonts w:ascii="Arial" w:eastAsia="Times New Roman" w:hAnsi="Arial" w:cs="Times New Roman"/>
          <w:sz w:val="20"/>
          <w:szCs w:val="20"/>
        </w:rPr>
        <w:t>Deactivation of Badges</w:t>
      </w:r>
    </w:p>
    <w:p w14:paraId="123F4F99" w14:textId="77777777" w:rsidR="00A76BDF" w:rsidRPr="00A76BDF" w:rsidRDefault="00A76BDF" w:rsidP="00A76BDF">
      <w:pPr>
        <w:spacing w:after="0" w:line="240" w:lineRule="auto"/>
        <w:rPr>
          <w:rFonts w:ascii="Times New Roman" w:eastAsia="Times New Roman" w:hAnsi="Times New Roman" w:cs="Times New Roman"/>
          <w:sz w:val="24"/>
          <w:szCs w:val="24"/>
        </w:rPr>
      </w:pPr>
    </w:p>
    <w:p w14:paraId="21DD5F4D" w14:textId="77777777" w:rsidR="00A76BDF" w:rsidRPr="00A76BDF" w:rsidRDefault="00A76BDF" w:rsidP="00A76BDF">
      <w:pPr>
        <w:widowControl w:val="0"/>
        <w:numPr>
          <w:ilvl w:val="0"/>
          <w:numId w:val="1"/>
        </w:numPr>
        <w:spacing w:before="120" w:after="120" w:line="240" w:lineRule="auto"/>
        <w:jc w:val="both"/>
        <w:outlineLvl w:val="0"/>
        <w:rPr>
          <w:rFonts w:ascii="Arial" w:eastAsia="Times New Roman" w:hAnsi="Arial" w:cs="Times New Roman"/>
          <w:b/>
          <w:sz w:val="20"/>
          <w:szCs w:val="20"/>
        </w:rPr>
      </w:pPr>
      <w:r w:rsidRPr="00A76BDF">
        <w:rPr>
          <w:rFonts w:ascii="Arial" w:eastAsia="Times New Roman" w:hAnsi="Arial" w:cs="Times New Roman"/>
          <w:b/>
          <w:sz w:val="20"/>
          <w:szCs w:val="20"/>
        </w:rPr>
        <w:t>Procedure</w:t>
      </w:r>
    </w:p>
    <w:p w14:paraId="449DC1B9" w14:textId="77777777" w:rsidR="00A76BDF" w:rsidRPr="0097719B" w:rsidRDefault="00A76BDF" w:rsidP="00A76BDF">
      <w:pPr>
        <w:widowControl w:val="0"/>
        <w:numPr>
          <w:ilvl w:val="1"/>
          <w:numId w:val="1"/>
        </w:numPr>
        <w:spacing w:before="120" w:after="120" w:line="240" w:lineRule="auto"/>
        <w:jc w:val="both"/>
        <w:outlineLvl w:val="1"/>
        <w:rPr>
          <w:rFonts w:ascii="Arial" w:eastAsia="Times New Roman" w:hAnsi="Arial" w:cs="Times New Roman"/>
          <w:b/>
          <w:bCs/>
          <w:sz w:val="20"/>
          <w:szCs w:val="20"/>
          <w:u w:val="single"/>
        </w:rPr>
      </w:pPr>
      <w:r w:rsidRPr="0097719B">
        <w:rPr>
          <w:rFonts w:ascii="Arial" w:eastAsia="Times New Roman" w:hAnsi="Arial" w:cs="Times New Roman"/>
          <w:b/>
          <w:bCs/>
          <w:sz w:val="20"/>
          <w:szCs w:val="20"/>
          <w:u w:val="single"/>
        </w:rPr>
        <w:t>General Requirements</w:t>
      </w:r>
    </w:p>
    <w:p w14:paraId="731DAB3F" w14:textId="77777777" w:rsidR="00A76BDF" w:rsidRPr="00A76BDF" w:rsidRDefault="00A76BDF" w:rsidP="00A76BDF">
      <w:pPr>
        <w:widowControl w:val="0"/>
        <w:numPr>
          <w:ilvl w:val="2"/>
          <w:numId w:val="1"/>
        </w:numPr>
        <w:spacing w:before="120" w:after="120" w:line="240" w:lineRule="auto"/>
        <w:outlineLvl w:val="2"/>
        <w:rPr>
          <w:rFonts w:ascii="Arial" w:eastAsia="Times New Roman" w:hAnsi="Arial" w:cs="Times New Roman"/>
          <w:b/>
          <w:sz w:val="20"/>
          <w:szCs w:val="20"/>
        </w:rPr>
      </w:pPr>
      <w:r w:rsidRPr="00A76BDF">
        <w:rPr>
          <w:rFonts w:ascii="Arial" w:eastAsia="Times New Roman" w:hAnsi="Arial" w:cs="Times New Roman"/>
          <w:b/>
          <w:sz w:val="20"/>
          <w:szCs w:val="20"/>
        </w:rPr>
        <w:t>PROCEDURE: Deactivation of Badges</w:t>
      </w:r>
    </w:p>
    <w:p w14:paraId="543F964F" w14:textId="77777777" w:rsidR="00A76BDF" w:rsidRPr="00A76BDF" w:rsidRDefault="00A76BDF" w:rsidP="00A76BDF">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A76BDF">
        <w:rPr>
          <w:rFonts w:ascii="Arial" w:eastAsia="Times New Roman" w:hAnsi="Arial" w:cs="Times New Roman"/>
          <w:sz w:val="20"/>
          <w:szCs w:val="20"/>
        </w:rPr>
        <w:t xml:space="preserve">Contractor companies will notify GBR security whenever an employee, whom was issued a site access badge, is no longer in employment of the contractor company, to enable security to appropriately deactivate the person’s </w:t>
      </w:r>
      <w:bookmarkEnd w:id="4"/>
      <w:r w:rsidRPr="00A76BDF">
        <w:rPr>
          <w:rFonts w:ascii="Arial" w:eastAsia="Times New Roman" w:hAnsi="Arial" w:cs="Times New Roman"/>
          <w:sz w:val="20"/>
          <w:szCs w:val="20"/>
        </w:rPr>
        <w:t>badge.</w:t>
      </w:r>
    </w:p>
    <w:p w14:paraId="26762972" w14:textId="77777777" w:rsidR="00A76BDF" w:rsidRPr="00A76BDF" w:rsidRDefault="00A76BDF" w:rsidP="00A76BDF">
      <w:pPr>
        <w:widowControl w:val="0"/>
        <w:numPr>
          <w:ilvl w:val="4"/>
          <w:numId w:val="1"/>
        </w:numPr>
        <w:spacing w:before="120" w:after="120" w:line="240" w:lineRule="auto"/>
        <w:outlineLvl w:val="4"/>
        <w:rPr>
          <w:rFonts w:ascii="Arial" w:eastAsia="Times New Roman" w:hAnsi="Arial" w:cs="Times New Roman"/>
          <w:sz w:val="20"/>
          <w:szCs w:val="20"/>
        </w:rPr>
      </w:pPr>
      <w:r w:rsidRPr="00A76BDF">
        <w:rPr>
          <w:rFonts w:ascii="Arial" w:eastAsia="Times New Roman" w:hAnsi="Arial" w:cs="Times New Roman"/>
          <w:sz w:val="20"/>
          <w:szCs w:val="20"/>
        </w:rPr>
        <w:t>After a contractor employee is terminated by the contractor company; a contractor employee resigns/quits; a contractor employee is absent unexcused for more than three (3) scheduled workdays; or a contractor employee is permanently transferred off site, the contractor company shall adhere to the following:</w:t>
      </w:r>
    </w:p>
    <w:p w14:paraId="1E20BE9A"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The contractor company will notify GBR Security within twenty-four (24) hours of the contractor employee severance, transfer off site, or unexcused absence exceeding 3 scheduled workdays.</w:t>
      </w:r>
    </w:p>
    <w:p w14:paraId="693CD8A8"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The contractor company will in all cases attempt to recover the employee’s badge and will return the employee’s badge to GBR Security.</w:t>
      </w:r>
    </w:p>
    <w:p w14:paraId="5E50A681"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Written notification is to be made to GBR Security Operations Center (SOC) by completing a BADGE DEACTIVATION NOTICE, then attach the document to an email and send it to GBR’s Global Address Listing “G GBR ESS Security Badge System” at email: gtcssecuritybadgesystem@marathonpetroleum.com.</w:t>
      </w:r>
    </w:p>
    <w:p w14:paraId="57109E45"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GBR Security will deactivate the contractor employee’s site access badge.  This individual (terminated, resigned/quit, unexcused absence, permanently transferred) will not be granted access to the site for 90 days unless GBR Procurement approval is obtained.</w:t>
      </w:r>
    </w:p>
    <w:p w14:paraId="33949D20"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lastRenderedPageBreak/>
        <w:t>It will be the responsibility of the contractor company to ensure compliance to this procedure by prompt reporting and proper completion of the BADGE DEACTIVATION NOTICE.</w:t>
      </w:r>
    </w:p>
    <w:p w14:paraId="675CA938" w14:textId="77777777" w:rsidR="00A76BDF" w:rsidRPr="00A76BDF" w:rsidRDefault="00A76BDF" w:rsidP="00A76BDF">
      <w:pPr>
        <w:widowControl w:val="0"/>
        <w:spacing w:before="120" w:after="120" w:line="240" w:lineRule="auto"/>
        <w:ind w:left="3600"/>
        <w:outlineLvl w:val="4"/>
        <w:rPr>
          <w:rFonts w:ascii="Arial" w:eastAsia="Times New Roman" w:hAnsi="Arial" w:cs="Times New Roman"/>
          <w:sz w:val="20"/>
          <w:szCs w:val="20"/>
        </w:rPr>
      </w:pPr>
    </w:p>
    <w:p w14:paraId="68D4A5F4" w14:textId="77777777" w:rsidR="00A76BDF" w:rsidRPr="00A76BDF" w:rsidRDefault="00A76BDF" w:rsidP="00A76BDF">
      <w:pPr>
        <w:widowControl w:val="0"/>
        <w:numPr>
          <w:ilvl w:val="4"/>
          <w:numId w:val="1"/>
        </w:numPr>
        <w:spacing w:before="120" w:after="120" w:line="240" w:lineRule="auto"/>
        <w:outlineLvl w:val="4"/>
        <w:rPr>
          <w:rFonts w:ascii="Arial" w:eastAsia="Times New Roman" w:hAnsi="Arial" w:cs="Times New Roman"/>
          <w:sz w:val="20"/>
          <w:szCs w:val="20"/>
        </w:rPr>
      </w:pPr>
      <w:r w:rsidRPr="00A76BDF">
        <w:rPr>
          <w:rFonts w:ascii="Arial" w:eastAsia="Times New Roman" w:hAnsi="Arial" w:cs="Times New Roman"/>
          <w:sz w:val="20"/>
          <w:szCs w:val="20"/>
        </w:rPr>
        <w:t>After a contractor employee is terminated for cause due to violation of GBR Security or Safety policies the contractor company shall adhere to the following:</w:t>
      </w:r>
    </w:p>
    <w:p w14:paraId="40EF6EF6"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The contractor company will in all cases attempt to recover the employee’s badge and will return the employee’s badge to GBR Security.</w:t>
      </w:r>
    </w:p>
    <w:p w14:paraId="3C80ADBB"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 xml:space="preserve">The contractor company will notify GBR Security within twenty-four (24) hours of the contractor employee severance.  </w:t>
      </w:r>
    </w:p>
    <w:p w14:paraId="2F95BB06"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Written notification to GBR Security Operations Center is to be made in accordance with Section 3.1.1.1.1.3 of this procedure.</w:t>
      </w:r>
    </w:p>
    <w:p w14:paraId="1E3491B9"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The contractor company will also make official reporting to GBR Security describing the cause of termination.  The contractor company will receive a GBR Security case report number for this incident.</w:t>
      </w:r>
    </w:p>
    <w:p w14:paraId="61C7370E"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GBR Security will deactivate the contractor employee’s site access badge.</w:t>
      </w:r>
    </w:p>
    <w:p w14:paraId="3297ED8D"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GBR security may, in certain cases, permanently bar individual from site access if cause is determined to be in violation of GBR Policy.</w:t>
      </w:r>
    </w:p>
    <w:p w14:paraId="09810F6B" w14:textId="5E286076" w:rsid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Eligibility for return to site will be noted by GBR Security as “TBD” (To be Determined)</w:t>
      </w:r>
    </w:p>
    <w:p w14:paraId="4E098999" w14:textId="5A10E8BC" w:rsidR="00E91AE8" w:rsidRPr="0097719B" w:rsidRDefault="00E91AE8"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rPr>
      </w:pPr>
      <w:r w:rsidRPr="0097719B">
        <w:rPr>
          <w:rFonts w:ascii="Arial" w:eastAsia="Times New Roman" w:hAnsi="Arial" w:cs="Times New Roman"/>
          <w:b/>
          <w:bCs/>
        </w:rPr>
        <w:t xml:space="preserve">*Note:  All terminations regardless of cause should be done offsite.  </w:t>
      </w:r>
      <w:r w:rsidRPr="0097719B">
        <w:rPr>
          <w:rFonts w:ascii="Arial" w:eastAsia="Times New Roman" w:hAnsi="Arial" w:cs="Times New Roman"/>
          <w:b/>
          <w:bCs/>
          <w:i/>
          <w:iCs/>
        </w:rPr>
        <w:t xml:space="preserve">If </w:t>
      </w:r>
      <w:r w:rsidRPr="0097719B">
        <w:rPr>
          <w:rFonts w:ascii="Arial" w:eastAsia="Times New Roman" w:hAnsi="Arial" w:cs="Times New Roman"/>
          <w:b/>
          <w:bCs/>
        </w:rPr>
        <w:t>a termination must occur</w:t>
      </w:r>
      <w:r w:rsidR="0097719B" w:rsidRPr="0097719B">
        <w:rPr>
          <w:rFonts w:ascii="Arial" w:eastAsia="Times New Roman" w:hAnsi="Arial" w:cs="Times New Roman"/>
          <w:b/>
          <w:bCs/>
        </w:rPr>
        <w:t xml:space="preserve"> onsite</w:t>
      </w:r>
      <w:r w:rsidRPr="0097719B">
        <w:rPr>
          <w:rFonts w:ascii="Arial" w:eastAsia="Times New Roman" w:hAnsi="Arial" w:cs="Times New Roman"/>
          <w:b/>
          <w:bCs/>
        </w:rPr>
        <w:t xml:space="preserve">, notification </w:t>
      </w:r>
      <w:r w:rsidR="0097719B" w:rsidRPr="0097719B">
        <w:rPr>
          <w:rFonts w:ascii="Arial" w:eastAsia="Times New Roman" w:hAnsi="Arial" w:cs="Times New Roman"/>
          <w:b/>
          <w:bCs/>
        </w:rPr>
        <w:t>needs to be made to Security prior to the termination so we can be present and available for the removal of your employee.  NO EXCEPTIONS!!!</w:t>
      </w:r>
    </w:p>
    <w:p w14:paraId="37394381" w14:textId="77777777" w:rsidR="00A76BDF" w:rsidRPr="00A76BDF" w:rsidRDefault="00A76BDF" w:rsidP="00A76BDF">
      <w:pPr>
        <w:spacing w:after="0" w:line="240" w:lineRule="auto"/>
        <w:rPr>
          <w:rFonts w:ascii="Times New Roman" w:eastAsia="Times New Roman" w:hAnsi="Times New Roman" w:cs="Times New Roman"/>
          <w:sz w:val="24"/>
          <w:szCs w:val="24"/>
        </w:rPr>
      </w:pPr>
    </w:p>
    <w:p w14:paraId="2ADF7838" w14:textId="77777777" w:rsidR="00A76BDF" w:rsidRPr="00A76BDF" w:rsidRDefault="00A76BDF" w:rsidP="00A76BDF">
      <w:pPr>
        <w:spacing w:after="0" w:line="240" w:lineRule="auto"/>
        <w:rPr>
          <w:rFonts w:ascii="Times New Roman" w:eastAsia="Times New Roman" w:hAnsi="Times New Roman" w:cs="Times New Roman"/>
          <w:sz w:val="24"/>
          <w:szCs w:val="24"/>
        </w:rPr>
      </w:pPr>
    </w:p>
    <w:p w14:paraId="5A13B357" w14:textId="77777777" w:rsidR="00A76BDF" w:rsidRPr="00A76BDF" w:rsidRDefault="00A76BDF" w:rsidP="00A76BDF">
      <w:pPr>
        <w:widowControl w:val="0"/>
        <w:numPr>
          <w:ilvl w:val="4"/>
          <w:numId w:val="1"/>
        </w:numPr>
        <w:spacing w:before="120" w:after="120" w:line="240" w:lineRule="auto"/>
        <w:outlineLvl w:val="4"/>
        <w:rPr>
          <w:rFonts w:ascii="Arial" w:eastAsia="Times New Roman" w:hAnsi="Arial" w:cs="Times New Roman"/>
          <w:sz w:val="20"/>
          <w:szCs w:val="20"/>
        </w:rPr>
      </w:pPr>
      <w:r w:rsidRPr="00A76BDF">
        <w:rPr>
          <w:rFonts w:ascii="Arial" w:eastAsia="Times New Roman" w:hAnsi="Arial" w:cs="Times New Roman"/>
          <w:sz w:val="20"/>
          <w:szCs w:val="20"/>
        </w:rPr>
        <w:t>After a contractor company employee is laid off in a reduction of force (ROF), the contractor company shall adhere to the following:</w:t>
      </w:r>
    </w:p>
    <w:p w14:paraId="40D3F6E2" w14:textId="77777777" w:rsidR="00A76BDF" w:rsidRPr="00A76BDF" w:rsidRDefault="00A76BDF" w:rsidP="00A76BDF">
      <w:pPr>
        <w:spacing w:after="0" w:line="240" w:lineRule="auto"/>
        <w:rPr>
          <w:rFonts w:ascii="Times New Roman" w:eastAsia="Times New Roman" w:hAnsi="Times New Roman" w:cs="Times New Roman"/>
          <w:sz w:val="24"/>
          <w:szCs w:val="24"/>
        </w:rPr>
      </w:pPr>
    </w:p>
    <w:p w14:paraId="1EB3139F" w14:textId="77777777" w:rsidR="00A76BDF" w:rsidRP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 xml:space="preserve"> The contractor company will notify GBR Security Operations Center within 24 hours of the contractor company employee severance.</w:t>
      </w:r>
    </w:p>
    <w:p w14:paraId="5704743B" w14:textId="0F49E240" w:rsidR="00A76BDF" w:rsidRDefault="00A76BDF"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A76BDF">
        <w:rPr>
          <w:rFonts w:ascii="Arial" w:eastAsia="Times New Roman" w:hAnsi="Arial" w:cs="Times New Roman"/>
          <w:sz w:val="20"/>
          <w:szCs w:val="20"/>
        </w:rPr>
        <w:t xml:space="preserve"> Written notification to GBR Security Operations </w:t>
      </w:r>
      <w:r w:rsidRPr="00A76BDF">
        <w:rPr>
          <w:rFonts w:ascii="Arial" w:eastAsia="Times New Roman" w:hAnsi="Arial" w:cs="Times New Roman"/>
          <w:sz w:val="20"/>
          <w:szCs w:val="20"/>
        </w:rPr>
        <w:lastRenderedPageBreak/>
        <w:t xml:space="preserve">Center is to be made in accordance with Section 3.1.1.1.1.3 of this procedure. </w:t>
      </w:r>
    </w:p>
    <w:p w14:paraId="20796387" w14:textId="3AECC3C7" w:rsidR="00561CAB" w:rsidRDefault="00561CAB" w:rsidP="00A76BDF">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Pr>
          <w:rFonts w:ascii="Arial" w:eastAsia="Times New Roman" w:hAnsi="Arial" w:cs="Times New Roman"/>
          <w:sz w:val="20"/>
          <w:szCs w:val="20"/>
        </w:rPr>
        <w:t>In the BADGE DEACTIVATION NOTICE the contractor will state cause as ROF</w:t>
      </w:r>
    </w:p>
    <w:p w14:paraId="47A6BF03" w14:textId="6D39166D" w:rsidR="00561CAB" w:rsidRDefault="00561CAB" w:rsidP="00561CAB">
      <w:pPr>
        <w:pStyle w:val="Heading5"/>
        <w:numPr>
          <w:ilvl w:val="0"/>
          <w:numId w:val="0"/>
        </w:numPr>
        <w:ind w:left="3780" w:hanging="1080"/>
      </w:pPr>
    </w:p>
    <w:p w14:paraId="1ED50CBD" w14:textId="77777777" w:rsidR="00561CAB" w:rsidRPr="00561CAB" w:rsidRDefault="00561CAB" w:rsidP="00561CAB">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561CAB">
        <w:rPr>
          <w:rFonts w:ascii="Arial" w:eastAsia="Times New Roman" w:hAnsi="Arial" w:cs="Times New Roman"/>
          <w:sz w:val="20"/>
          <w:szCs w:val="20"/>
        </w:rPr>
        <w:t>The GBR Security Operations Center will deactivate the contractor company employee’s access badge.</w:t>
      </w:r>
    </w:p>
    <w:p w14:paraId="6E5660A3" w14:textId="77777777" w:rsidR="00561CAB" w:rsidRPr="00561CAB" w:rsidRDefault="00561CAB" w:rsidP="00561CAB">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561CAB">
        <w:rPr>
          <w:rFonts w:ascii="Arial" w:eastAsia="Times New Roman" w:hAnsi="Arial" w:cs="Times New Roman"/>
          <w:sz w:val="20"/>
          <w:szCs w:val="20"/>
        </w:rPr>
        <w:t xml:space="preserve"> No ninety (90) day ineligibility to return to site rule will be in effect for any ROF (laid off) contractor company employee.  The contractor company employee will be eligible for immediate return to the site and employment by another contractor company upon proper documented request.</w:t>
      </w:r>
    </w:p>
    <w:p w14:paraId="02C62CFA" w14:textId="77777777" w:rsidR="00561CAB" w:rsidRPr="00561CAB" w:rsidRDefault="00561CAB" w:rsidP="00561CAB">
      <w:pPr>
        <w:widowControl w:val="0"/>
        <w:numPr>
          <w:ilvl w:val="5"/>
          <w:numId w:val="1"/>
        </w:numPr>
        <w:tabs>
          <w:tab w:val="clear" w:pos="2880"/>
        </w:tabs>
        <w:spacing w:before="120" w:after="120" w:line="240" w:lineRule="auto"/>
        <w:ind w:left="5040" w:hanging="1440"/>
        <w:outlineLvl w:val="5"/>
        <w:rPr>
          <w:rFonts w:ascii="Arial" w:eastAsia="Times New Roman" w:hAnsi="Arial" w:cs="Times New Roman"/>
          <w:sz w:val="20"/>
          <w:szCs w:val="20"/>
        </w:rPr>
      </w:pPr>
      <w:r w:rsidRPr="00561CAB">
        <w:rPr>
          <w:rFonts w:ascii="Arial" w:eastAsia="Times New Roman" w:hAnsi="Arial" w:cs="Times New Roman"/>
          <w:sz w:val="20"/>
          <w:szCs w:val="20"/>
        </w:rPr>
        <w:t xml:space="preserve"> The contractor company will in all cases attempt to recover the employee’s badge and will return the employee’s badge to GBR Security.</w:t>
      </w:r>
    </w:p>
    <w:p w14:paraId="07B82BB2" w14:textId="77777777" w:rsidR="00561CAB" w:rsidRPr="00561CAB" w:rsidRDefault="00561CAB" w:rsidP="00561CAB">
      <w:pPr>
        <w:widowControl w:val="0"/>
        <w:numPr>
          <w:ilvl w:val="2"/>
          <w:numId w:val="1"/>
        </w:numPr>
        <w:spacing w:before="120" w:after="120" w:line="240" w:lineRule="auto"/>
        <w:outlineLvl w:val="2"/>
        <w:rPr>
          <w:rFonts w:ascii="Arial" w:eastAsia="Times New Roman" w:hAnsi="Arial" w:cs="Times New Roman"/>
          <w:b/>
          <w:sz w:val="20"/>
          <w:szCs w:val="20"/>
        </w:rPr>
      </w:pPr>
      <w:r w:rsidRPr="00561CAB">
        <w:rPr>
          <w:rFonts w:ascii="Arial" w:eastAsia="Times New Roman" w:hAnsi="Arial" w:cs="Times New Roman"/>
          <w:b/>
          <w:sz w:val="20"/>
          <w:szCs w:val="20"/>
        </w:rPr>
        <w:t>BADGE DEACTIVATION NOTICE</w:t>
      </w:r>
    </w:p>
    <w:p w14:paraId="3F70F9F9" w14:textId="77777777" w:rsidR="00561CAB" w:rsidRPr="00561CAB" w:rsidRDefault="00561CAB" w:rsidP="00561CAB">
      <w:pPr>
        <w:spacing w:after="0" w:line="240" w:lineRule="auto"/>
        <w:rPr>
          <w:rFonts w:ascii="Times New Roman" w:eastAsia="Times New Roman" w:hAnsi="Times New Roman" w:cs="Times New Roman"/>
        </w:rPr>
      </w:pPr>
      <w:r w:rsidRPr="00561CAB">
        <w:rPr>
          <w:rFonts w:ascii="Times New Roman" w:eastAsia="Times New Roman" w:hAnsi="Times New Roman" w:cs="Times New Roman"/>
          <w:sz w:val="24"/>
          <w:szCs w:val="24"/>
        </w:rPr>
        <w:t xml:space="preserve">The BADGE DEACTIVATION NOTICE template can be located at the GBR Security Share-Point site, </w:t>
      </w:r>
      <w:hyperlink r:id="rId5" w:history="1">
        <w:r w:rsidRPr="00561CAB">
          <w:rPr>
            <w:rFonts w:ascii="Times New Roman" w:eastAsia="Times New Roman" w:hAnsi="Times New Roman" w:cs="Times New Roman"/>
            <w:color w:val="0000FF"/>
            <w:sz w:val="24"/>
            <w:szCs w:val="24"/>
            <w:u w:val="single"/>
          </w:rPr>
          <w:t>https://www.marathonrefinerycontractor.com/Galveston-Bay-Refinery/</w:t>
        </w:r>
      </w:hyperlink>
    </w:p>
    <w:p w14:paraId="6C3299AA" w14:textId="77777777" w:rsidR="00561CAB" w:rsidRPr="00561CAB" w:rsidRDefault="00561CAB" w:rsidP="00561CAB">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561CAB">
        <w:rPr>
          <w:rFonts w:ascii="Arial" w:eastAsia="Times New Roman" w:hAnsi="Arial" w:cs="Times New Roman"/>
          <w:sz w:val="20"/>
          <w:szCs w:val="20"/>
        </w:rPr>
        <w:t xml:space="preserve">  and will be used for official notification to GBR Security and CCTS administrator.</w:t>
      </w:r>
    </w:p>
    <w:p w14:paraId="6C3E05F7" w14:textId="77777777" w:rsidR="00561CAB" w:rsidRPr="00561CAB" w:rsidRDefault="00561CAB" w:rsidP="00561CAB">
      <w:pPr>
        <w:widowControl w:val="0"/>
        <w:numPr>
          <w:ilvl w:val="2"/>
          <w:numId w:val="1"/>
        </w:numPr>
        <w:spacing w:before="120" w:after="120" w:line="240" w:lineRule="auto"/>
        <w:outlineLvl w:val="2"/>
        <w:rPr>
          <w:rFonts w:ascii="Arial" w:eastAsia="Times New Roman" w:hAnsi="Arial" w:cs="Times New Roman"/>
          <w:b/>
          <w:sz w:val="20"/>
          <w:szCs w:val="20"/>
        </w:rPr>
      </w:pPr>
      <w:r w:rsidRPr="00561CAB">
        <w:rPr>
          <w:rFonts w:ascii="Arial" w:eastAsia="Times New Roman" w:hAnsi="Arial" w:cs="Times New Roman"/>
          <w:b/>
          <w:sz w:val="20"/>
          <w:szCs w:val="20"/>
        </w:rPr>
        <w:t>RESPONSIBILITY</w:t>
      </w:r>
    </w:p>
    <w:p w14:paraId="2277D4A3" w14:textId="77777777" w:rsidR="00561CAB" w:rsidRPr="00561CAB" w:rsidRDefault="00561CAB" w:rsidP="00561CAB">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561CAB">
        <w:rPr>
          <w:rFonts w:ascii="Arial" w:eastAsia="Times New Roman" w:hAnsi="Arial" w:cs="Times New Roman"/>
          <w:sz w:val="20"/>
          <w:szCs w:val="20"/>
        </w:rPr>
        <w:t>GBR will hold contractor companies responsible for all actions by contractor company personnel with active badges, as governed by the Contractor Company/GBR agreement.</w:t>
      </w:r>
    </w:p>
    <w:p w14:paraId="6A252716" w14:textId="77777777" w:rsidR="00561CAB" w:rsidRPr="00561CAB" w:rsidRDefault="00561CAB" w:rsidP="00561CAB">
      <w:pPr>
        <w:spacing w:after="0" w:line="240" w:lineRule="auto"/>
        <w:rPr>
          <w:rFonts w:ascii="Times New Roman" w:eastAsia="Times New Roman" w:hAnsi="Times New Roman" w:cs="Times New Roman"/>
          <w:sz w:val="24"/>
          <w:szCs w:val="24"/>
        </w:rPr>
      </w:pPr>
    </w:p>
    <w:p w14:paraId="2E5967D6" w14:textId="77777777" w:rsidR="00561CAB" w:rsidRPr="00561CAB" w:rsidRDefault="00561CAB" w:rsidP="00561CAB">
      <w:pPr>
        <w:widowControl w:val="0"/>
        <w:numPr>
          <w:ilvl w:val="2"/>
          <w:numId w:val="1"/>
        </w:numPr>
        <w:spacing w:before="120" w:after="120" w:line="240" w:lineRule="auto"/>
        <w:outlineLvl w:val="2"/>
        <w:rPr>
          <w:rFonts w:ascii="Arial" w:eastAsia="Times New Roman" w:hAnsi="Arial" w:cs="Times New Roman"/>
          <w:b/>
          <w:sz w:val="20"/>
          <w:szCs w:val="20"/>
        </w:rPr>
      </w:pPr>
      <w:r w:rsidRPr="00561CAB">
        <w:rPr>
          <w:rFonts w:ascii="Arial" w:eastAsia="Times New Roman" w:hAnsi="Arial" w:cs="Times New Roman"/>
          <w:b/>
          <w:sz w:val="20"/>
          <w:szCs w:val="20"/>
        </w:rPr>
        <w:t>APPEALS / EXCEPTIONS TO NINETY (90) DAY RULE</w:t>
      </w:r>
    </w:p>
    <w:p w14:paraId="36F14559" w14:textId="77777777" w:rsidR="00561CAB" w:rsidRPr="00561CAB" w:rsidRDefault="00561CAB" w:rsidP="00561CAB">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561CAB">
        <w:rPr>
          <w:rFonts w:ascii="Arial" w:eastAsia="Times New Roman" w:hAnsi="Arial" w:cs="Times New Roman"/>
          <w:sz w:val="20"/>
          <w:szCs w:val="20"/>
        </w:rPr>
        <w:t>Any appeals and/or exceptions to the ninety (90) day rule of ineligibility for access return to site will be made upon a case by case review of the issues at the sole discretion of GBR Procurement Manager/delegate and/or GBR management.</w:t>
      </w:r>
    </w:p>
    <w:p w14:paraId="60FE418B" w14:textId="77777777" w:rsidR="00561CAB" w:rsidRPr="00561CAB" w:rsidRDefault="00561CAB" w:rsidP="00561CAB">
      <w:pPr>
        <w:widowControl w:val="0"/>
        <w:numPr>
          <w:ilvl w:val="4"/>
          <w:numId w:val="1"/>
        </w:numPr>
        <w:spacing w:before="120" w:after="120" w:line="240" w:lineRule="auto"/>
        <w:outlineLvl w:val="4"/>
        <w:rPr>
          <w:rFonts w:ascii="Arial" w:eastAsia="Times New Roman" w:hAnsi="Arial" w:cs="Times New Roman"/>
          <w:sz w:val="20"/>
          <w:szCs w:val="20"/>
        </w:rPr>
      </w:pPr>
      <w:r w:rsidRPr="00561CAB">
        <w:rPr>
          <w:rFonts w:ascii="Arial" w:eastAsia="Times New Roman" w:hAnsi="Arial" w:cs="Times New Roman"/>
          <w:sz w:val="20"/>
          <w:szCs w:val="20"/>
        </w:rPr>
        <w:t>Appeals of cases involving violations of GBR Security and/or Safety Policies will require review and investigation by GBR Security.</w:t>
      </w:r>
    </w:p>
    <w:p w14:paraId="15256603" w14:textId="77777777" w:rsidR="00561CAB" w:rsidRPr="00561CAB" w:rsidRDefault="00561CAB" w:rsidP="00561CAB">
      <w:pPr>
        <w:widowControl w:val="0"/>
        <w:numPr>
          <w:ilvl w:val="4"/>
          <w:numId w:val="1"/>
        </w:numPr>
        <w:spacing w:before="120" w:after="120" w:line="240" w:lineRule="auto"/>
        <w:outlineLvl w:val="4"/>
        <w:rPr>
          <w:rFonts w:ascii="Arial" w:eastAsia="Times New Roman" w:hAnsi="Arial" w:cs="Times New Roman"/>
          <w:sz w:val="20"/>
          <w:szCs w:val="20"/>
        </w:rPr>
      </w:pPr>
      <w:r w:rsidRPr="00561CAB">
        <w:rPr>
          <w:rFonts w:ascii="Arial" w:eastAsia="Times New Roman" w:hAnsi="Arial" w:cs="Times New Roman"/>
          <w:sz w:val="20"/>
          <w:szCs w:val="20"/>
        </w:rPr>
        <w:t>Any approvals of appeals or exceptions made to the ninety (90) day rule will require written notification to GBR Security by the approving GBR Procurement Manager/delegate and/or GBR management</w:t>
      </w:r>
    </w:p>
    <w:p w14:paraId="56C745DF" w14:textId="77777777" w:rsidR="00561CAB" w:rsidRPr="00561CAB" w:rsidRDefault="00561CAB" w:rsidP="00561CAB">
      <w:pPr>
        <w:widowControl w:val="0"/>
        <w:numPr>
          <w:ilvl w:val="2"/>
          <w:numId w:val="1"/>
        </w:numPr>
        <w:spacing w:before="120" w:after="120" w:line="240" w:lineRule="auto"/>
        <w:outlineLvl w:val="2"/>
        <w:rPr>
          <w:rFonts w:ascii="Arial" w:eastAsia="Times New Roman" w:hAnsi="Arial" w:cs="Times New Roman"/>
          <w:b/>
          <w:sz w:val="20"/>
          <w:szCs w:val="20"/>
        </w:rPr>
      </w:pPr>
      <w:r w:rsidRPr="00561CAB">
        <w:rPr>
          <w:rFonts w:ascii="Arial" w:eastAsia="Times New Roman" w:hAnsi="Arial" w:cs="Times New Roman"/>
          <w:b/>
          <w:sz w:val="20"/>
          <w:szCs w:val="20"/>
        </w:rPr>
        <w:t>REACTIVATION OF BADGE</w:t>
      </w:r>
    </w:p>
    <w:p w14:paraId="35D07279" w14:textId="11A89702" w:rsidR="00561CAB" w:rsidRDefault="00561CAB" w:rsidP="00561CAB">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561CAB">
        <w:rPr>
          <w:rFonts w:ascii="Arial" w:eastAsia="Times New Roman" w:hAnsi="Arial" w:cs="Times New Roman"/>
          <w:sz w:val="20"/>
          <w:szCs w:val="20"/>
        </w:rPr>
        <w:t>Any contractor company employee whose badge has been deactivated and now allowed to return will require a BADGE REQUEST FORM for new badge issuance by the new contractor company wanting to employ the individual on the GBR site.</w:t>
      </w:r>
    </w:p>
    <w:p w14:paraId="0BB5EE2A" w14:textId="77777777" w:rsidR="0097719B" w:rsidRDefault="0097719B" w:rsidP="0097719B">
      <w:pPr>
        <w:widowControl w:val="0"/>
        <w:spacing w:before="120" w:after="120" w:line="240" w:lineRule="auto"/>
        <w:ind w:left="2520"/>
        <w:outlineLvl w:val="3"/>
        <w:rPr>
          <w:rFonts w:ascii="Arial" w:eastAsia="Times New Roman" w:hAnsi="Arial" w:cs="Times New Roman"/>
          <w:sz w:val="20"/>
          <w:szCs w:val="20"/>
        </w:rPr>
      </w:pPr>
    </w:p>
    <w:p w14:paraId="4231C05B" w14:textId="335587C9" w:rsidR="00561CAB" w:rsidRPr="0097719B" w:rsidRDefault="0097719B" w:rsidP="00561CAB">
      <w:pPr>
        <w:pStyle w:val="Heading2"/>
        <w:rPr>
          <w:b/>
          <w:bCs/>
        </w:rPr>
      </w:pPr>
      <w:r>
        <w:rPr>
          <w:b/>
          <w:bCs/>
        </w:rPr>
        <w:lastRenderedPageBreak/>
        <w:t>LOST BADGES</w:t>
      </w:r>
    </w:p>
    <w:p w14:paraId="5DE1A154" w14:textId="67C7CB21" w:rsidR="007749E2" w:rsidRDefault="007749E2" w:rsidP="006A0888">
      <w:pPr>
        <w:pStyle w:val="Heading3"/>
      </w:pPr>
      <w:r>
        <w:t>All GBR Contractor lost badges must be reported to the Security Operations Center</w:t>
      </w:r>
      <w:r w:rsidR="00B06143">
        <w:t xml:space="preserve"> (SOC) </w:t>
      </w:r>
      <w:r>
        <w:t>prior to arri</w:t>
      </w:r>
      <w:r w:rsidR="00B06143">
        <w:t>ving at Gate 42 to request a badge reprint.</w:t>
      </w:r>
    </w:p>
    <w:p w14:paraId="518D2ABF" w14:textId="2115D8BC" w:rsidR="00B06143" w:rsidRPr="00B06143" w:rsidRDefault="00A103AF" w:rsidP="00B06143">
      <w:pPr>
        <w:pStyle w:val="Heading3"/>
      </w:pPr>
      <w:r w:rsidRPr="00A103AF">
        <w:t xml:space="preserve"> </w:t>
      </w:r>
      <w:r w:rsidRPr="00A76BDF">
        <w:t>It will be the responsibility of the contractor company to</w:t>
      </w:r>
      <w:r>
        <w:t xml:space="preserve"> submit a new badge request form for the employee who is requesting a lost badge reprint. The badge request form can be submitted to “G GBR ESS Security Badge System” at email </w:t>
      </w:r>
      <w:r w:rsidRPr="00A103AF">
        <w:t>GBRBadgeRequest@marathonpetroleum.com</w:t>
      </w:r>
      <w:r>
        <w:t>”</w:t>
      </w:r>
      <w:r w:rsidR="00E91AE8">
        <w:t>.</w:t>
      </w:r>
    </w:p>
    <w:p w14:paraId="78FC0C65" w14:textId="2CB0BB96" w:rsidR="006A0888" w:rsidRDefault="006A0888" w:rsidP="006A0888"/>
    <w:p w14:paraId="3D708438" w14:textId="77777777" w:rsidR="00B74C16" w:rsidRPr="00B74C16" w:rsidRDefault="006A0888" w:rsidP="00B74C16">
      <w:pPr>
        <w:pStyle w:val="Heading2"/>
        <w:numPr>
          <w:ilvl w:val="0"/>
          <w:numId w:val="0"/>
        </w:numPr>
        <w:ind w:left="720" w:hanging="720"/>
        <w:rPr>
          <w:b/>
        </w:rPr>
      </w:pPr>
      <w:r w:rsidRPr="006A0888">
        <w:rPr>
          <w:rFonts w:cs="Arial"/>
          <w:sz w:val="22"/>
          <w:szCs w:val="22"/>
        </w:rPr>
        <w:t>3.3</w:t>
      </w:r>
      <w:r w:rsidRPr="00B74C16">
        <w:rPr>
          <w:rFonts w:cs="Arial"/>
          <w:sz w:val="22"/>
          <w:szCs w:val="22"/>
          <w:u w:val="none"/>
        </w:rPr>
        <w:tab/>
      </w:r>
      <w:r w:rsidR="00B74C16" w:rsidRPr="00B74C16">
        <w:rPr>
          <w:b/>
        </w:rPr>
        <w:t>NON-COMPLIANCE WITH POLICY</w:t>
      </w:r>
    </w:p>
    <w:p w14:paraId="208D254C" w14:textId="77777777" w:rsidR="00B74C16" w:rsidRPr="00B74C16" w:rsidRDefault="00B74C16" w:rsidP="00B74C16">
      <w:pPr>
        <w:widowControl w:val="0"/>
        <w:numPr>
          <w:ilvl w:val="3"/>
          <w:numId w:val="1"/>
        </w:numPr>
        <w:tabs>
          <w:tab w:val="clear" w:pos="2232"/>
        </w:tabs>
        <w:spacing w:before="120" w:after="120" w:line="240" w:lineRule="auto"/>
        <w:ind w:left="2520"/>
        <w:outlineLvl w:val="3"/>
        <w:rPr>
          <w:rFonts w:ascii="Arial" w:eastAsia="Times New Roman" w:hAnsi="Arial" w:cs="Times New Roman"/>
          <w:sz w:val="20"/>
          <w:szCs w:val="20"/>
        </w:rPr>
      </w:pPr>
      <w:r w:rsidRPr="00B74C16">
        <w:rPr>
          <w:rFonts w:ascii="Arial" w:eastAsia="Times New Roman" w:hAnsi="Arial" w:cs="Times New Roman"/>
          <w:sz w:val="20"/>
          <w:szCs w:val="20"/>
        </w:rPr>
        <w:t>The GBR Texas City site is federally security regulated under MTSA, 33 CFR § 105, DHS, USCG.  Noncompliance with this GBR Security policy will be considered violation of security procedures established for compliance with the Department of Homeland Security regulations.  Noncompliance with this policy may constitute reporting to the GBR Procurement Manager, GBR management, and if required, appropriate enforcement agencies.</w:t>
      </w:r>
    </w:p>
    <w:p w14:paraId="13192A3C" w14:textId="42B1A57B" w:rsidR="006A0888" w:rsidRPr="006A0888" w:rsidRDefault="006A0888" w:rsidP="006A0888">
      <w:pPr>
        <w:rPr>
          <w:rFonts w:ascii="Arial" w:hAnsi="Arial" w:cs="Arial"/>
        </w:rPr>
      </w:pPr>
    </w:p>
    <w:p w14:paraId="26913BD2" w14:textId="77777777" w:rsidR="006A0888" w:rsidRPr="00561CAB" w:rsidRDefault="006A0888" w:rsidP="00561CAB">
      <w:pPr>
        <w:ind w:left="720"/>
      </w:pPr>
    </w:p>
    <w:p w14:paraId="33457C2F" w14:textId="77777777" w:rsidR="00561CAB" w:rsidRPr="00561CAB" w:rsidRDefault="00561CAB" w:rsidP="00561CAB"/>
    <w:sectPr w:rsidR="00561CAB" w:rsidRPr="00561C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F905B9"/>
    <w:multiLevelType w:val="multilevel"/>
    <w:tmpl w:val="7D48A038"/>
    <w:lvl w:ilvl="0">
      <w:start w:val="1"/>
      <w:numFmt w:val="decimal"/>
      <w:pStyle w:val="Heading1"/>
      <w:isLgl/>
      <w:lvlText w:val="%1.0  "/>
      <w:lvlJc w:val="left"/>
      <w:pPr>
        <w:tabs>
          <w:tab w:val="num" w:pos="0"/>
        </w:tabs>
        <w:ind w:left="360" w:hanging="360"/>
      </w:pPr>
      <w:rPr>
        <w:rFonts w:ascii="Arial Bold" w:hAnsi="Arial Bold" w:cs="Times New Roman" w:hint="default"/>
        <w:b/>
        <w:i w:val="0"/>
        <w:caps w:val="0"/>
        <w:strike w:val="0"/>
        <w:dstrike w:val="0"/>
        <w:outline w:val="0"/>
        <w:shadow w:val="0"/>
        <w:emboss w:val="0"/>
        <w:imprint w:val="0"/>
        <w:vanish w:val="0"/>
        <w:sz w:val="20"/>
        <w:vertAlign w:val="baseline"/>
      </w:rPr>
    </w:lvl>
    <w:lvl w:ilvl="1">
      <w:start w:val="1"/>
      <w:numFmt w:val="decimal"/>
      <w:pStyle w:val="Heading2"/>
      <w:lvlText w:val="%1.%2  "/>
      <w:lvlJc w:val="left"/>
      <w:pPr>
        <w:tabs>
          <w:tab w:val="num" w:pos="720"/>
        </w:tabs>
        <w:ind w:left="720" w:hanging="720"/>
      </w:pPr>
      <w:rPr>
        <w:rFonts w:ascii="Arial" w:hAnsi="Arial" w:cs="Times New Roman" w:hint="default"/>
        <w:b w:val="0"/>
        <w:i w:val="0"/>
        <w:caps w:val="0"/>
        <w:strike w:val="0"/>
        <w:dstrike w:val="0"/>
        <w:outline w:val="0"/>
        <w:shadow w:val="0"/>
        <w:emboss w:val="0"/>
        <w:imprint w:val="0"/>
        <w:vanish w:val="0"/>
        <w:sz w:val="22"/>
        <w:szCs w:val="22"/>
        <w:vertAlign w:val="baseline"/>
      </w:rPr>
    </w:lvl>
    <w:lvl w:ilvl="2">
      <w:start w:val="1"/>
      <w:numFmt w:val="decimal"/>
      <w:pStyle w:val="Heading3"/>
      <w:lvlText w:val="%1.%2.%3  "/>
      <w:lvlJc w:val="left"/>
      <w:pPr>
        <w:tabs>
          <w:tab w:val="num" w:pos="1620"/>
        </w:tabs>
        <w:ind w:left="1620" w:hanging="720"/>
      </w:pPr>
      <w:rPr>
        <w:rFonts w:ascii="Arial" w:hAnsi="Arial" w:cs="Times New Roman" w:hint="default"/>
        <w:b w:val="0"/>
        <w:i w:val="0"/>
        <w:caps w:val="0"/>
        <w:strike w:val="0"/>
        <w:dstrike w:val="0"/>
        <w:outline w:val="0"/>
        <w:shadow w:val="0"/>
        <w:emboss w:val="0"/>
        <w:imprint w:val="0"/>
        <w:vanish w:val="0"/>
        <w:sz w:val="20"/>
        <w:vertAlign w:val="baseline"/>
      </w:rPr>
    </w:lvl>
    <w:lvl w:ilvl="3">
      <w:start w:val="1"/>
      <w:numFmt w:val="decimal"/>
      <w:pStyle w:val="Heading4"/>
      <w:lvlText w:val="%1.%2.%3.%4  "/>
      <w:lvlJc w:val="left"/>
      <w:pPr>
        <w:tabs>
          <w:tab w:val="num" w:pos="2232"/>
        </w:tabs>
        <w:ind w:left="288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
      <w:lvlJc w:val="left"/>
      <w:pPr>
        <w:tabs>
          <w:tab w:val="num" w:pos="2700"/>
        </w:tabs>
        <w:ind w:left="378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
      <w:lvlJc w:val="left"/>
      <w:pPr>
        <w:tabs>
          <w:tab w:val="num" w:pos="2880"/>
        </w:tabs>
        <w:ind w:left="2736" w:hanging="936"/>
      </w:pPr>
      <w:rPr>
        <w:rFonts w:cs="Times New Roman" w:hint="default"/>
      </w:rPr>
    </w:lvl>
    <w:lvl w:ilvl="6">
      <w:start w:val="1"/>
      <w:numFmt w:val="decimal"/>
      <w:lvlText w:val="%1.%2.%3.%4.%5.%6.%7  "/>
      <w:lvlJc w:val="left"/>
      <w:pPr>
        <w:tabs>
          <w:tab w:val="num" w:pos="3780"/>
        </w:tabs>
        <w:ind w:left="3420" w:hanging="1080"/>
      </w:pPr>
      <w:rPr>
        <w:rFonts w:cs="Times New Roman" w:hint="default"/>
      </w:rPr>
    </w:lvl>
    <w:lvl w:ilvl="7">
      <w:start w:val="1"/>
      <w:numFmt w:val="decimal"/>
      <w:lvlText w:val="%1.%2.%3.%4.%5.%6.%7.%8  "/>
      <w:lvlJc w:val="left"/>
      <w:pPr>
        <w:tabs>
          <w:tab w:val="num" w:pos="3960"/>
        </w:tabs>
        <w:ind w:left="3744" w:hanging="1224"/>
      </w:pPr>
      <w:rPr>
        <w:rFonts w:cs="Times New Roman" w:hint="default"/>
      </w:rPr>
    </w:lvl>
    <w:lvl w:ilvl="8">
      <w:start w:val="1"/>
      <w:numFmt w:val="decimal"/>
      <w:lvlText w:val="%1.%2.%3.%4.%5.%6.%7.%8.%9  "/>
      <w:lvlJc w:val="left"/>
      <w:pPr>
        <w:tabs>
          <w:tab w:val="num" w:pos="4680"/>
        </w:tabs>
        <w:ind w:left="4320" w:hanging="1440"/>
      </w:pPr>
      <w:rPr>
        <w:rFonts w:cs="Times New Roman"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BDF"/>
    <w:rsid w:val="002B7F9C"/>
    <w:rsid w:val="00337710"/>
    <w:rsid w:val="00561CAB"/>
    <w:rsid w:val="006A0888"/>
    <w:rsid w:val="007749E2"/>
    <w:rsid w:val="0097719B"/>
    <w:rsid w:val="00A103AF"/>
    <w:rsid w:val="00A76BDF"/>
    <w:rsid w:val="00B06143"/>
    <w:rsid w:val="00B74C16"/>
    <w:rsid w:val="00C83E11"/>
    <w:rsid w:val="00D54FCA"/>
    <w:rsid w:val="00E91A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2DE70"/>
  <w15:chartTrackingRefBased/>
  <w15:docId w15:val="{64F844F7-98C6-40CB-B93D-C0BCC3DA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qFormat/>
    <w:rsid w:val="00A76BDF"/>
    <w:pPr>
      <w:widowControl w:val="0"/>
      <w:numPr>
        <w:numId w:val="1"/>
      </w:numPr>
      <w:spacing w:before="120" w:after="120" w:line="240" w:lineRule="auto"/>
      <w:jc w:val="both"/>
      <w:outlineLvl w:val="0"/>
    </w:pPr>
    <w:rPr>
      <w:rFonts w:ascii="Arial" w:eastAsia="Times New Roman" w:hAnsi="Arial" w:cs="Times New Roman"/>
      <w:b/>
      <w:sz w:val="20"/>
      <w:szCs w:val="20"/>
    </w:rPr>
  </w:style>
  <w:style w:type="paragraph" w:styleId="Heading2">
    <w:name w:val="heading 2"/>
    <w:basedOn w:val="Normal"/>
    <w:next w:val="Normal"/>
    <w:link w:val="Heading2Char"/>
    <w:qFormat/>
    <w:rsid w:val="00A76BDF"/>
    <w:pPr>
      <w:widowControl w:val="0"/>
      <w:numPr>
        <w:ilvl w:val="1"/>
        <w:numId w:val="1"/>
      </w:numPr>
      <w:spacing w:before="120" w:after="120" w:line="240" w:lineRule="auto"/>
      <w:jc w:val="both"/>
      <w:outlineLvl w:val="1"/>
    </w:pPr>
    <w:rPr>
      <w:rFonts w:ascii="Arial" w:eastAsia="Times New Roman" w:hAnsi="Arial" w:cs="Times New Roman"/>
      <w:sz w:val="20"/>
      <w:szCs w:val="20"/>
      <w:u w:val="single"/>
    </w:rPr>
  </w:style>
  <w:style w:type="paragraph" w:styleId="Heading3">
    <w:name w:val="heading 3"/>
    <w:basedOn w:val="Normal"/>
    <w:next w:val="Normal"/>
    <w:link w:val="Heading3Char"/>
    <w:qFormat/>
    <w:rsid w:val="00A76BDF"/>
    <w:pPr>
      <w:widowControl w:val="0"/>
      <w:numPr>
        <w:ilvl w:val="2"/>
        <w:numId w:val="1"/>
      </w:numPr>
      <w:spacing w:before="120" w:after="120" w:line="240" w:lineRule="auto"/>
      <w:outlineLvl w:val="2"/>
    </w:pPr>
    <w:rPr>
      <w:rFonts w:ascii="Arial" w:eastAsia="Times New Roman" w:hAnsi="Arial" w:cs="Times New Roman"/>
      <w:sz w:val="20"/>
      <w:szCs w:val="20"/>
    </w:rPr>
  </w:style>
  <w:style w:type="paragraph" w:styleId="Heading4">
    <w:name w:val="heading 4"/>
    <w:basedOn w:val="Normal"/>
    <w:next w:val="Normal"/>
    <w:link w:val="Heading4Char"/>
    <w:qFormat/>
    <w:rsid w:val="00A76BDF"/>
    <w:pPr>
      <w:widowControl w:val="0"/>
      <w:numPr>
        <w:ilvl w:val="3"/>
        <w:numId w:val="1"/>
      </w:numPr>
      <w:tabs>
        <w:tab w:val="clear" w:pos="2232"/>
      </w:tabs>
      <w:spacing w:before="120" w:after="120" w:line="240" w:lineRule="auto"/>
      <w:ind w:left="2520"/>
      <w:outlineLvl w:val="3"/>
    </w:pPr>
    <w:rPr>
      <w:rFonts w:ascii="Arial" w:eastAsia="Times New Roman" w:hAnsi="Arial" w:cs="Times New Roman"/>
      <w:sz w:val="20"/>
      <w:szCs w:val="20"/>
    </w:rPr>
  </w:style>
  <w:style w:type="paragraph" w:styleId="Heading5">
    <w:name w:val="heading 5"/>
    <w:basedOn w:val="Normal"/>
    <w:next w:val="Normal"/>
    <w:link w:val="Heading5Char"/>
    <w:qFormat/>
    <w:rsid w:val="00A76BDF"/>
    <w:pPr>
      <w:widowControl w:val="0"/>
      <w:numPr>
        <w:ilvl w:val="4"/>
        <w:numId w:val="1"/>
      </w:numPr>
      <w:spacing w:before="120" w:after="120" w:line="240" w:lineRule="auto"/>
      <w:outlineLvl w:val="4"/>
    </w:pPr>
    <w:rPr>
      <w:rFonts w:ascii="Arial" w:eastAsia="Times New Roman" w:hAnsi="Arial" w:cs="Times New Roman"/>
      <w:sz w:val="20"/>
      <w:szCs w:val="20"/>
    </w:rPr>
  </w:style>
  <w:style w:type="paragraph" w:styleId="Heading6">
    <w:name w:val="heading 6"/>
    <w:basedOn w:val="Heading5"/>
    <w:next w:val="Normal"/>
    <w:link w:val="Heading6Char"/>
    <w:qFormat/>
    <w:rsid w:val="00A76BDF"/>
    <w:pPr>
      <w:numPr>
        <w:ilvl w:val="5"/>
      </w:numPr>
      <w:tabs>
        <w:tab w:val="clear" w:pos="2880"/>
      </w:tabs>
      <w:ind w:left="5040" w:hanging="144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6BDF"/>
    <w:rPr>
      <w:rFonts w:ascii="Arial" w:eastAsia="Times New Roman" w:hAnsi="Arial" w:cs="Times New Roman"/>
      <w:b/>
      <w:sz w:val="20"/>
      <w:szCs w:val="20"/>
    </w:rPr>
  </w:style>
  <w:style w:type="character" w:customStyle="1" w:styleId="Heading2Char">
    <w:name w:val="Heading 2 Char"/>
    <w:basedOn w:val="DefaultParagraphFont"/>
    <w:link w:val="Heading2"/>
    <w:rsid w:val="00A76BDF"/>
    <w:rPr>
      <w:rFonts w:ascii="Arial" w:eastAsia="Times New Roman" w:hAnsi="Arial" w:cs="Times New Roman"/>
      <w:sz w:val="20"/>
      <w:szCs w:val="20"/>
      <w:u w:val="single"/>
    </w:rPr>
  </w:style>
  <w:style w:type="character" w:customStyle="1" w:styleId="Heading3Char">
    <w:name w:val="Heading 3 Char"/>
    <w:basedOn w:val="DefaultParagraphFont"/>
    <w:link w:val="Heading3"/>
    <w:rsid w:val="00A76BDF"/>
    <w:rPr>
      <w:rFonts w:ascii="Arial" w:eastAsia="Times New Roman" w:hAnsi="Arial" w:cs="Times New Roman"/>
      <w:sz w:val="20"/>
      <w:szCs w:val="20"/>
    </w:rPr>
  </w:style>
  <w:style w:type="character" w:customStyle="1" w:styleId="Heading4Char">
    <w:name w:val="Heading 4 Char"/>
    <w:basedOn w:val="DefaultParagraphFont"/>
    <w:link w:val="Heading4"/>
    <w:rsid w:val="00A76BDF"/>
    <w:rPr>
      <w:rFonts w:ascii="Arial" w:eastAsia="Times New Roman" w:hAnsi="Arial" w:cs="Times New Roman"/>
      <w:sz w:val="20"/>
      <w:szCs w:val="20"/>
    </w:rPr>
  </w:style>
  <w:style w:type="character" w:customStyle="1" w:styleId="Heading5Char">
    <w:name w:val="Heading 5 Char"/>
    <w:basedOn w:val="DefaultParagraphFont"/>
    <w:link w:val="Heading5"/>
    <w:rsid w:val="00A76BDF"/>
    <w:rPr>
      <w:rFonts w:ascii="Arial" w:eastAsia="Times New Roman" w:hAnsi="Arial" w:cs="Times New Roman"/>
      <w:sz w:val="20"/>
      <w:szCs w:val="20"/>
    </w:rPr>
  </w:style>
  <w:style w:type="character" w:customStyle="1" w:styleId="Heading6Char">
    <w:name w:val="Heading 6 Char"/>
    <w:basedOn w:val="DefaultParagraphFont"/>
    <w:link w:val="Heading6"/>
    <w:rsid w:val="00A76BDF"/>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561C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arathonrefinerycontractor.com/Galveston-Bay-Refiner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1002</Words>
  <Characters>5715</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 Noel</dc:creator>
  <cp:keywords/>
  <dc:description/>
  <cp:lastModifiedBy>Sorto, Ingrid  Y.</cp:lastModifiedBy>
  <cp:revision>2</cp:revision>
  <dcterms:created xsi:type="dcterms:W3CDTF">2021-08-19T15:05:00Z</dcterms:created>
  <dcterms:modified xsi:type="dcterms:W3CDTF">2021-08-19T15:05:00Z</dcterms:modified>
</cp:coreProperties>
</file>